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EA5" w:rsidRDefault="009A5EA5" w:rsidP="009A5EA5">
      <w:pPr>
        <w:ind w:left="7080" w:firstLine="708"/>
        <w:jc w:val="center"/>
        <w:rPr>
          <w:b/>
          <w:bCs/>
        </w:rPr>
      </w:pPr>
      <w:r w:rsidRPr="00F10077">
        <w:t>załącznik nr  2</w:t>
      </w:r>
    </w:p>
    <w:p w:rsidR="00A76D53" w:rsidRPr="00F10077" w:rsidRDefault="00A76D53" w:rsidP="00166581">
      <w:pPr>
        <w:ind w:left="1416" w:firstLine="708"/>
        <w:jc w:val="center"/>
        <w:rPr>
          <w:b/>
          <w:bCs/>
        </w:rPr>
      </w:pPr>
      <w:r w:rsidRPr="00F10077">
        <w:rPr>
          <w:b/>
          <w:bCs/>
        </w:rPr>
        <w:t>Opis przedmiotu zamówienia</w:t>
      </w:r>
      <w:r w:rsidR="009A5EA5" w:rsidRPr="009A5EA5">
        <w:t xml:space="preserve"> </w:t>
      </w:r>
    </w:p>
    <w:p w:rsidR="00A76D53" w:rsidRPr="00F10077" w:rsidRDefault="00A76D53" w:rsidP="00A76D53">
      <w:pPr>
        <w:ind w:left="1416" w:firstLine="708"/>
        <w:jc w:val="center"/>
      </w:pPr>
      <w:r w:rsidRPr="00F10077">
        <w:rPr>
          <w:b/>
          <w:bCs/>
        </w:rPr>
        <w:tab/>
      </w:r>
      <w:r w:rsidRPr="00F10077">
        <w:rPr>
          <w:b/>
          <w:bCs/>
        </w:rPr>
        <w:tab/>
      </w:r>
      <w:r w:rsidRPr="00F10077">
        <w:rPr>
          <w:b/>
          <w:bCs/>
        </w:rPr>
        <w:tab/>
      </w:r>
    </w:p>
    <w:p w:rsidR="002464F3" w:rsidRPr="00F10077" w:rsidRDefault="002464F3" w:rsidP="002464F3">
      <w:pPr>
        <w:jc w:val="both"/>
        <w:rPr>
          <w:b/>
          <w:bCs/>
        </w:rPr>
      </w:pPr>
      <w:r w:rsidRPr="00F10077">
        <w:rPr>
          <w:b/>
          <w:bCs/>
        </w:rPr>
        <w:t xml:space="preserve">„Przeprowadzenie audytu zgodności oraz świadczenie usług wsparcia merytorycznego w zakresie realizacji obowiązków Operatora Usług Kluczowych przez Szpital Specjalistyczny w Jaśle w ramach Krajowego Systemu </w:t>
      </w:r>
      <w:proofErr w:type="spellStart"/>
      <w:r w:rsidRPr="00F10077">
        <w:rPr>
          <w:b/>
          <w:bCs/>
        </w:rPr>
        <w:t>Cyberbezpieczeństwa</w:t>
      </w:r>
      <w:proofErr w:type="spellEnd"/>
      <w:r w:rsidRPr="00F10077">
        <w:rPr>
          <w:b/>
          <w:bCs/>
        </w:rPr>
        <w:t>.”</w:t>
      </w:r>
    </w:p>
    <w:p w:rsidR="002464F3" w:rsidRPr="00F10077" w:rsidRDefault="002464F3" w:rsidP="002464F3">
      <w:pPr>
        <w:jc w:val="both"/>
        <w:rPr>
          <w:b/>
          <w:bCs/>
        </w:rPr>
      </w:pPr>
    </w:p>
    <w:p w:rsidR="00B15D5A" w:rsidRPr="00F10077" w:rsidRDefault="00B15D5A" w:rsidP="00B15D5A">
      <w:pPr>
        <w:jc w:val="both"/>
        <w:rPr>
          <w:b/>
          <w:u w:val="single"/>
        </w:rPr>
      </w:pPr>
    </w:p>
    <w:p w:rsidR="00B15D5A" w:rsidRPr="00F10077" w:rsidRDefault="00ED5319" w:rsidP="00B15D5A">
      <w:pPr>
        <w:jc w:val="both"/>
        <w:rPr>
          <w:b/>
          <w:u w:val="single"/>
        </w:rPr>
      </w:pPr>
      <w:r w:rsidRPr="00F10077">
        <w:rPr>
          <w:b/>
          <w:u w:val="single"/>
        </w:rPr>
        <w:t xml:space="preserve">I - </w:t>
      </w:r>
      <w:r w:rsidR="00B15D5A" w:rsidRPr="00F10077">
        <w:rPr>
          <w:b/>
          <w:u w:val="single"/>
        </w:rPr>
        <w:t xml:space="preserve">Przedmiot zamówienia: </w:t>
      </w:r>
    </w:p>
    <w:p w:rsidR="00B15D5A" w:rsidRPr="00F10077" w:rsidRDefault="00B15D5A" w:rsidP="00B15D5A">
      <w:pPr>
        <w:jc w:val="both"/>
      </w:pPr>
      <w:r w:rsidRPr="00F10077">
        <w:t xml:space="preserve">Przeprowadzenie audytu zgodności oraz świadczenie usług </w:t>
      </w:r>
      <w:r w:rsidR="00ED5319" w:rsidRPr="00F10077">
        <w:t>wsparcia merytorycznego</w:t>
      </w:r>
      <w:r w:rsidRPr="00F10077">
        <w:t xml:space="preserve"> w zakresie realizacji obowiązków Operatora Usług Kluczowych </w:t>
      </w:r>
      <w:r w:rsidR="00ED5319" w:rsidRPr="00F10077">
        <w:t xml:space="preserve">przez Szpital Specjalistyczny w Jaśle </w:t>
      </w:r>
      <w:r w:rsidRPr="00F10077">
        <w:t xml:space="preserve">w ramach Krajowego Systemu </w:t>
      </w:r>
      <w:proofErr w:type="spellStart"/>
      <w:r w:rsidRPr="00F10077">
        <w:t>Cyberbezpieczeństwa</w:t>
      </w:r>
      <w:proofErr w:type="spellEnd"/>
      <w:r w:rsidRPr="00F10077">
        <w:t>.</w:t>
      </w:r>
    </w:p>
    <w:p w:rsidR="00B15D5A" w:rsidRPr="00F10077" w:rsidRDefault="00B15D5A" w:rsidP="00B15D5A">
      <w:pPr>
        <w:jc w:val="both"/>
      </w:pPr>
    </w:p>
    <w:p w:rsidR="00B15D5A" w:rsidRPr="00F10077" w:rsidRDefault="00B15D5A" w:rsidP="00B15D5A">
      <w:pPr>
        <w:jc w:val="both"/>
      </w:pPr>
      <w:r w:rsidRPr="00F10077">
        <w:t>Przedmiot Zamówienia zostanie wykonany w nawiązaniu do wymagań wynikających z:</w:t>
      </w:r>
    </w:p>
    <w:p w:rsidR="00B15D5A" w:rsidRPr="00F10077" w:rsidRDefault="00B15D5A" w:rsidP="00B15D5A">
      <w:pPr>
        <w:jc w:val="both"/>
      </w:pPr>
      <w:r w:rsidRPr="00F10077">
        <w:t xml:space="preserve">Ustawy z dnia 5 lipca 2018 r. o Krajowym Systemie </w:t>
      </w:r>
      <w:proofErr w:type="spellStart"/>
      <w:r w:rsidRPr="00F10077">
        <w:t>Cyberbezpieczeństwa</w:t>
      </w:r>
      <w:proofErr w:type="spellEnd"/>
      <w:r w:rsidRPr="00F10077">
        <w:t xml:space="preserve"> (UKSC), wdrażającej </w:t>
      </w:r>
      <w:proofErr w:type="spellStart"/>
      <w:r w:rsidRPr="00F10077">
        <w:t>Dyrektywe</w:t>
      </w:r>
      <w:proofErr w:type="spellEnd"/>
      <w:r w:rsidRPr="00F10077">
        <w:t xml:space="preserve">̨ NIS oraz Rozporządzenia Ministra Cyfryzacji z dnia 4 grudnia 2019 r. w sprawie warunków organizacyjnych i technicznych dla podmiotów świadczących usługi z zakresu </w:t>
      </w:r>
      <w:proofErr w:type="spellStart"/>
      <w:r w:rsidRPr="00F10077">
        <w:t>cyberbezpieczeństwa</w:t>
      </w:r>
      <w:proofErr w:type="spellEnd"/>
      <w:r w:rsidRPr="00F10077">
        <w:t xml:space="preserve"> oraz wewnętrznych struktur organizacyjnych operatorów usług kluczowych odpowiedzialnych za </w:t>
      </w:r>
      <w:proofErr w:type="spellStart"/>
      <w:r w:rsidRPr="00F10077">
        <w:t>cyberbezpieczeństwo</w:t>
      </w:r>
      <w:proofErr w:type="spellEnd"/>
      <w:r w:rsidRPr="00F10077">
        <w:t xml:space="preserve">, </w:t>
      </w:r>
      <w:r w:rsidR="00D7212F">
        <w:br/>
      </w:r>
      <w:r w:rsidRPr="00F10077">
        <w:t>a także norm PN-ISO/IEC 27001, PN-EN/ISO 22301 oraz norm pokrewnych.</w:t>
      </w:r>
    </w:p>
    <w:p w:rsidR="00B15D5A" w:rsidRPr="00F10077" w:rsidRDefault="00B15D5A" w:rsidP="00B15D5A">
      <w:pPr>
        <w:jc w:val="both"/>
      </w:pPr>
    </w:p>
    <w:p w:rsidR="00B15D5A" w:rsidRPr="00F10077" w:rsidRDefault="00B15D5A" w:rsidP="00B15D5A">
      <w:pPr>
        <w:jc w:val="both"/>
      </w:pPr>
      <w:r w:rsidRPr="00F10077">
        <w:t xml:space="preserve">Na przedmiot </w:t>
      </w:r>
      <w:r w:rsidR="00ED5319" w:rsidRPr="00F10077">
        <w:t xml:space="preserve">zamówienia </w:t>
      </w:r>
      <w:r w:rsidRPr="00F10077">
        <w:t>składa się:</w:t>
      </w:r>
    </w:p>
    <w:p w:rsidR="00B15D5A" w:rsidRPr="00F10077" w:rsidRDefault="00B15D5A" w:rsidP="00B15D5A">
      <w:pPr>
        <w:pStyle w:val="Akapitzlist"/>
        <w:numPr>
          <w:ilvl w:val="0"/>
          <w:numId w:val="1"/>
        </w:numPr>
        <w:ind w:left="426" w:hanging="426"/>
        <w:jc w:val="both"/>
      </w:pPr>
      <w:r w:rsidRPr="00F10077">
        <w:t>Przeprowadzenia audytu zgodności (audytu bezpieczeństwa systemu informacyjnego wykorzystywanego do świadczenia usługi kluczowej) oraz opracowanie raportu z przeprowadzonego audytu w formie papierowej i elektronicznej;</w:t>
      </w:r>
    </w:p>
    <w:p w:rsidR="00B15D5A" w:rsidRPr="00F10077" w:rsidRDefault="00B15D5A" w:rsidP="00B15D5A">
      <w:pPr>
        <w:pStyle w:val="Akapitzlist"/>
        <w:numPr>
          <w:ilvl w:val="0"/>
          <w:numId w:val="1"/>
        </w:numPr>
        <w:ind w:left="426" w:hanging="426"/>
        <w:jc w:val="both"/>
      </w:pPr>
      <w:r w:rsidRPr="00F10077">
        <w:t>Przeprowadzenia inwentaryzacji i klasyfikacji informacji;</w:t>
      </w:r>
    </w:p>
    <w:p w:rsidR="00B15D5A" w:rsidRPr="00F10077" w:rsidRDefault="00B15D5A" w:rsidP="00B15D5A">
      <w:pPr>
        <w:pStyle w:val="Akapitzlist"/>
        <w:numPr>
          <w:ilvl w:val="0"/>
          <w:numId w:val="1"/>
        </w:numPr>
        <w:ind w:left="426" w:hanging="426"/>
        <w:jc w:val="both"/>
      </w:pPr>
      <w:r w:rsidRPr="00F10077">
        <w:t xml:space="preserve">Przeprowadzenia inwentaryzacji i klasyfikacji elementów składowych usługi kluczowej, w tym: </w:t>
      </w:r>
    </w:p>
    <w:p w:rsidR="00B15D5A" w:rsidRPr="00F10077" w:rsidRDefault="00B15D5A" w:rsidP="00B15D5A">
      <w:pPr>
        <w:pStyle w:val="Akapitzlist"/>
        <w:numPr>
          <w:ilvl w:val="1"/>
          <w:numId w:val="1"/>
        </w:numPr>
        <w:jc w:val="both"/>
      </w:pPr>
      <w:r w:rsidRPr="00F10077">
        <w:t>zasobów informacyjnych,</w:t>
      </w:r>
    </w:p>
    <w:p w:rsidR="00B15D5A" w:rsidRPr="00F10077" w:rsidRDefault="00B15D5A" w:rsidP="00B15D5A">
      <w:pPr>
        <w:pStyle w:val="Akapitzlist"/>
        <w:numPr>
          <w:ilvl w:val="1"/>
          <w:numId w:val="1"/>
        </w:numPr>
        <w:jc w:val="both"/>
      </w:pPr>
      <w:r w:rsidRPr="00F10077">
        <w:t xml:space="preserve">procesów i procedur, </w:t>
      </w:r>
    </w:p>
    <w:p w:rsidR="00B15D5A" w:rsidRPr="00F10077" w:rsidRDefault="00B15D5A" w:rsidP="00B15D5A">
      <w:pPr>
        <w:pStyle w:val="Akapitzlist"/>
        <w:numPr>
          <w:ilvl w:val="1"/>
          <w:numId w:val="1"/>
        </w:numPr>
        <w:jc w:val="both"/>
      </w:pPr>
      <w:r w:rsidRPr="00F10077">
        <w:t xml:space="preserve">ról i uprawnień, </w:t>
      </w:r>
    </w:p>
    <w:p w:rsidR="00B15D5A" w:rsidRPr="00F10077" w:rsidRDefault="00B15D5A" w:rsidP="00B15D5A">
      <w:pPr>
        <w:pStyle w:val="Akapitzlist"/>
        <w:numPr>
          <w:ilvl w:val="1"/>
          <w:numId w:val="1"/>
        </w:numPr>
        <w:jc w:val="both"/>
      </w:pPr>
      <w:r w:rsidRPr="00F10077">
        <w:t xml:space="preserve">kompetencji i kwalifikacji personelu, </w:t>
      </w:r>
    </w:p>
    <w:p w:rsidR="00B15D5A" w:rsidRPr="00F10077" w:rsidRDefault="00B15D5A" w:rsidP="00B15D5A">
      <w:pPr>
        <w:pStyle w:val="Akapitzlist"/>
        <w:numPr>
          <w:ilvl w:val="1"/>
          <w:numId w:val="1"/>
        </w:numPr>
        <w:jc w:val="both"/>
      </w:pPr>
      <w:r w:rsidRPr="00F10077">
        <w:t>wsparcie w procesie inwentaryzacji sprzętu i oprogramowania;;</w:t>
      </w:r>
    </w:p>
    <w:p w:rsidR="00B15D5A" w:rsidRPr="00F10077" w:rsidRDefault="00B15D5A" w:rsidP="00B15D5A">
      <w:pPr>
        <w:pStyle w:val="Akapitzlist"/>
        <w:numPr>
          <w:ilvl w:val="0"/>
          <w:numId w:val="1"/>
        </w:numPr>
        <w:ind w:left="426" w:hanging="426"/>
        <w:jc w:val="both"/>
      </w:pPr>
      <w:r w:rsidRPr="00F10077">
        <w:t>Przeprowadzenie analizy zagrożeń i oceny ryzyka systemów informacyjnych</w:t>
      </w:r>
      <w:r w:rsidR="00B42F45" w:rsidRPr="00F10077">
        <w:t xml:space="preserve"> w nawiązaniu do przeprowadzonej klasyfikacji informacji</w:t>
      </w:r>
      <w:r w:rsidRPr="00F10077">
        <w:t>;</w:t>
      </w:r>
    </w:p>
    <w:p w:rsidR="00B15D5A" w:rsidRPr="00F10077" w:rsidRDefault="00B15D5A" w:rsidP="00B42F45">
      <w:pPr>
        <w:pStyle w:val="Akapitzlist"/>
        <w:numPr>
          <w:ilvl w:val="0"/>
          <w:numId w:val="1"/>
        </w:numPr>
        <w:ind w:left="426" w:hanging="426"/>
        <w:jc w:val="both"/>
      </w:pPr>
      <w:r w:rsidRPr="00F10077">
        <w:t>Zaprojektowania, opracowania oraz dostosowania dokumentacji (polityki, regulaminy, procedury, rejestry, instrukcje itp.) w obszar</w:t>
      </w:r>
      <w:r w:rsidR="00B42F45" w:rsidRPr="00F10077">
        <w:t xml:space="preserve">ze </w:t>
      </w:r>
      <w:r w:rsidRPr="00F10077">
        <w:t>zarządzania bezpieczeństwem informacji (zgodnie z normą PN-ISO/IEC 27001, z uwzględnieniem norm: PN-EN ISO/IEC 27017, PN-EN ISO/IEC 27701, PN-EN ISO 27799),</w:t>
      </w:r>
    </w:p>
    <w:p w:rsidR="00B15D5A" w:rsidRPr="00F10077" w:rsidRDefault="00B15D5A" w:rsidP="00B15D5A">
      <w:pPr>
        <w:pStyle w:val="Akapitzlist"/>
        <w:numPr>
          <w:ilvl w:val="0"/>
          <w:numId w:val="1"/>
        </w:numPr>
        <w:ind w:left="426" w:hanging="426"/>
        <w:jc w:val="both"/>
      </w:pPr>
      <w:r w:rsidRPr="00F10077">
        <w:t>Wsparcie przy zaprojektowaniu i doborze rozwiązań technicznych;</w:t>
      </w:r>
    </w:p>
    <w:p w:rsidR="00B15D5A" w:rsidRPr="00F10077" w:rsidRDefault="00B15D5A" w:rsidP="00B15D5A">
      <w:pPr>
        <w:pStyle w:val="Akapitzlist"/>
        <w:numPr>
          <w:ilvl w:val="0"/>
          <w:numId w:val="1"/>
        </w:numPr>
        <w:ind w:left="426" w:hanging="426"/>
        <w:jc w:val="both"/>
      </w:pPr>
      <w:r w:rsidRPr="00F10077">
        <w:t xml:space="preserve">Szkolenia i warsztaty dla zespołu </w:t>
      </w:r>
      <w:proofErr w:type="spellStart"/>
      <w:r w:rsidRPr="00F10077">
        <w:t>cyberbezpieczeństwa</w:t>
      </w:r>
      <w:proofErr w:type="spellEnd"/>
      <w:r w:rsidRPr="00F10077">
        <w:t xml:space="preserve"> z zakresu realizacji obowiązków UKSC;</w:t>
      </w:r>
    </w:p>
    <w:p w:rsidR="00B15D5A" w:rsidRPr="00F10077" w:rsidRDefault="00B15D5A" w:rsidP="00B15D5A">
      <w:pPr>
        <w:pStyle w:val="Akapitzlist"/>
        <w:numPr>
          <w:ilvl w:val="0"/>
          <w:numId w:val="1"/>
        </w:numPr>
        <w:ind w:left="426" w:hanging="426"/>
        <w:jc w:val="both"/>
      </w:pPr>
      <w:r w:rsidRPr="00F10077">
        <w:t>Świadczenie stałej usługi wsparcia merytorycznego wraz z nadzorem nad dokumentacją, w tym:</w:t>
      </w:r>
    </w:p>
    <w:p w:rsidR="00B15D5A" w:rsidRPr="00F10077" w:rsidRDefault="00B15D5A" w:rsidP="00B15D5A">
      <w:pPr>
        <w:pStyle w:val="Akapitzlist"/>
        <w:numPr>
          <w:ilvl w:val="1"/>
          <w:numId w:val="1"/>
        </w:numPr>
        <w:jc w:val="both"/>
      </w:pPr>
      <w:r w:rsidRPr="00F10077">
        <w:t>konsultacje mailowe,</w:t>
      </w:r>
    </w:p>
    <w:p w:rsidR="00B15D5A" w:rsidRPr="00F10077" w:rsidRDefault="00B15D5A" w:rsidP="00B15D5A">
      <w:pPr>
        <w:pStyle w:val="Akapitzlist"/>
        <w:numPr>
          <w:ilvl w:val="1"/>
          <w:numId w:val="1"/>
        </w:numPr>
        <w:jc w:val="both"/>
      </w:pPr>
      <w:r w:rsidRPr="00F10077">
        <w:t>konsultacje telefoniczne,</w:t>
      </w:r>
    </w:p>
    <w:p w:rsidR="00B15D5A" w:rsidRPr="00F10077" w:rsidRDefault="00B15D5A" w:rsidP="00B15D5A">
      <w:pPr>
        <w:pStyle w:val="Akapitzlist"/>
        <w:numPr>
          <w:ilvl w:val="1"/>
          <w:numId w:val="1"/>
        </w:numPr>
        <w:jc w:val="both"/>
      </w:pPr>
      <w:r w:rsidRPr="00F10077">
        <w:t>konsultacje w siedzibie Zamawiającego,</w:t>
      </w:r>
    </w:p>
    <w:p w:rsidR="00B15D5A" w:rsidRPr="00F10077" w:rsidRDefault="00B15D5A" w:rsidP="00B15D5A">
      <w:pPr>
        <w:pStyle w:val="Akapitzlist"/>
        <w:numPr>
          <w:ilvl w:val="1"/>
          <w:numId w:val="1"/>
        </w:numPr>
        <w:jc w:val="both"/>
      </w:pPr>
      <w:r w:rsidRPr="00F10077">
        <w:t>wizyty kontrolne w lokalizacjach Zamawiającego,</w:t>
      </w:r>
    </w:p>
    <w:p w:rsidR="00B15D5A" w:rsidRPr="00F10077" w:rsidRDefault="00B15D5A" w:rsidP="00B15D5A">
      <w:pPr>
        <w:pStyle w:val="Akapitzlist"/>
        <w:numPr>
          <w:ilvl w:val="1"/>
          <w:numId w:val="1"/>
        </w:numPr>
        <w:jc w:val="both"/>
      </w:pPr>
      <w:r w:rsidRPr="00F10077">
        <w:t>nadzór nad systemem, z uwzględnieniem bieżącej aktualizacji dokumentacji</w:t>
      </w:r>
      <w:r w:rsidR="00B42F45" w:rsidRPr="00F10077">
        <w:t xml:space="preserve"> w </w:t>
      </w:r>
      <w:proofErr w:type="spellStart"/>
      <w:r w:rsidR="00B42F45" w:rsidRPr="00F10077">
        <w:t>odnisieniu</w:t>
      </w:r>
      <w:proofErr w:type="spellEnd"/>
      <w:r w:rsidR="00B42F45" w:rsidRPr="00F10077">
        <w:t xml:space="preserve"> do prawnych i organizacyjnych</w:t>
      </w:r>
      <w:r w:rsidRPr="00F10077">
        <w:t>,</w:t>
      </w:r>
    </w:p>
    <w:p w:rsidR="00B15D5A" w:rsidRPr="00F10077" w:rsidRDefault="00B15D5A" w:rsidP="00B15D5A">
      <w:pPr>
        <w:pStyle w:val="Akapitzlist"/>
        <w:numPr>
          <w:ilvl w:val="1"/>
          <w:numId w:val="1"/>
        </w:numPr>
        <w:jc w:val="both"/>
      </w:pPr>
      <w:r w:rsidRPr="00F10077">
        <w:t>wsparcie obsługi incydentów;</w:t>
      </w:r>
    </w:p>
    <w:p w:rsidR="00B15D5A" w:rsidRPr="00F10077" w:rsidRDefault="00B15D5A" w:rsidP="00B15D5A">
      <w:pPr>
        <w:jc w:val="both"/>
      </w:pPr>
    </w:p>
    <w:p w:rsidR="00D7212F" w:rsidRDefault="00D7212F" w:rsidP="00B15D5A">
      <w:pPr>
        <w:keepNext/>
        <w:jc w:val="both"/>
        <w:rPr>
          <w:b/>
          <w:u w:val="single"/>
        </w:rPr>
      </w:pPr>
    </w:p>
    <w:p w:rsidR="00D7212F" w:rsidRDefault="00D7212F" w:rsidP="00B15D5A">
      <w:pPr>
        <w:keepNext/>
        <w:jc w:val="both"/>
        <w:rPr>
          <w:b/>
          <w:u w:val="single"/>
        </w:rPr>
      </w:pPr>
    </w:p>
    <w:p w:rsidR="00B15D5A" w:rsidRPr="00F10077" w:rsidRDefault="00ED5319" w:rsidP="00B15D5A">
      <w:pPr>
        <w:keepNext/>
        <w:jc w:val="both"/>
        <w:rPr>
          <w:b/>
          <w:u w:val="single"/>
        </w:rPr>
      </w:pPr>
      <w:r w:rsidRPr="00F10077">
        <w:rPr>
          <w:b/>
          <w:u w:val="single"/>
        </w:rPr>
        <w:t xml:space="preserve">II - </w:t>
      </w:r>
      <w:r w:rsidR="00B15D5A" w:rsidRPr="00F10077">
        <w:rPr>
          <w:b/>
          <w:u w:val="single"/>
        </w:rPr>
        <w:t>Wymagania:</w:t>
      </w:r>
    </w:p>
    <w:p w:rsidR="00B15D5A" w:rsidRPr="00F10077" w:rsidRDefault="00B15D5A" w:rsidP="00B15D5A">
      <w:pPr>
        <w:jc w:val="both"/>
      </w:pPr>
    </w:p>
    <w:p w:rsidR="00B15D5A" w:rsidRPr="00F10077" w:rsidRDefault="00B15D5A" w:rsidP="00B15D5A">
      <w:pPr>
        <w:jc w:val="both"/>
      </w:pPr>
      <w:r w:rsidRPr="00F10077">
        <w:t xml:space="preserve">Przedmiot </w:t>
      </w:r>
      <w:r w:rsidR="00ED5319" w:rsidRPr="00F10077">
        <w:t>z</w:t>
      </w:r>
      <w:r w:rsidRPr="00F10077">
        <w:t>amówienia może być wykonywany przez:</w:t>
      </w:r>
    </w:p>
    <w:p w:rsidR="00B15D5A" w:rsidRPr="00F10077" w:rsidRDefault="00B15D5A" w:rsidP="00B15D5A">
      <w:pPr>
        <w:jc w:val="both"/>
      </w:pPr>
      <w:r w:rsidRPr="00F10077">
        <w:t>1) jednostkę oceniającą zgodność, akredytowaną zgodnie z przepisami ustawy z dnia 13 kwietnia 2016 r. o systemach oceny zgodności i nadzoru rynku (Dz. U. z 2022 r. poz. 5), w zakresie właściwym do podejmowanych ocen bezpieczeństwa systemów informacyjnych;</w:t>
      </w:r>
    </w:p>
    <w:p w:rsidR="00B15D5A" w:rsidRPr="00F10077" w:rsidRDefault="00B15D5A" w:rsidP="00B15D5A">
      <w:pPr>
        <w:jc w:val="both"/>
      </w:pPr>
      <w:r w:rsidRPr="00F10077">
        <w:t>2) co najmniej dwóch audytorów posiadających:</w:t>
      </w:r>
    </w:p>
    <w:p w:rsidR="00B15D5A" w:rsidRPr="00F10077" w:rsidRDefault="00B15D5A" w:rsidP="00B15D5A">
      <w:pPr>
        <w:ind w:left="708"/>
        <w:jc w:val="both"/>
      </w:pPr>
      <w:r w:rsidRPr="00F10077">
        <w:t xml:space="preserve">a) certyfikaty określone w poniższym wykazie certyfikatów uprawiających do przeprowadzenia audytu lub </w:t>
      </w:r>
    </w:p>
    <w:p w:rsidR="00B15D5A" w:rsidRPr="00F10077" w:rsidRDefault="00B15D5A" w:rsidP="00B15D5A">
      <w:pPr>
        <w:ind w:left="708"/>
        <w:jc w:val="both"/>
      </w:pPr>
      <w:r w:rsidRPr="00F10077">
        <w:t>b) co najmniej trzyletnią praktykę w zakresie audytu bezpieczeństwa systemów informacyjnych, lub</w:t>
      </w:r>
    </w:p>
    <w:p w:rsidR="00B15D5A" w:rsidRPr="00F10077" w:rsidRDefault="00B15D5A" w:rsidP="00B15D5A">
      <w:pPr>
        <w:ind w:left="708"/>
        <w:jc w:val="both"/>
      </w:pPr>
      <w:r w:rsidRPr="00F10077">
        <w:t>c) co najmniej dwuletnią praktykę w zakresie audytu bezpieczeństwa systemów informacyjnych i legitymujących się dyplomem ukończenia studiów podyplomowych w zakresie audytu bezpieczeństwa systemów informacyjnych, wydanym przez jednostkę organizacyjną, która w</w:t>
      </w:r>
      <w:r w:rsidR="00303C7A" w:rsidRPr="00F10077">
        <w:t> </w:t>
      </w:r>
      <w:r w:rsidRPr="00F10077">
        <w:t>dniu wydania dyplomu była uprawniona, zgodnie z odrębnymi przepisami, do nadawania stopnia naukowego doktora nauk ekonomicznych, technicznych lub prawnych.</w:t>
      </w:r>
    </w:p>
    <w:p w:rsidR="00303C7A" w:rsidRPr="00F10077" w:rsidRDefault="00303C7A" w:rsidP="00B15D5A">
      <w:pPr>
        <w:jc w:val="both"/>
      </w:pPr>
    </w:p>
    <w:p w:rsidR="00B15D5A" w:rsidRPr="00F10077" w:rsidRDefault="00B15D5A" w:rsidP="00B15D5A">
      <w:pPr>
        <w:jc w:val="both"/>
      </w:pPr>
      <w:r w:rsidRPr="00F10077">
        <w:t xml:space="preserve">Wykaz certyfikatów uprawniających do przeprowadzenia audytu: </w:t>
      </w:r>
    </w:p>
    <w:p w:rsidR="00B15D5A" w:rsidRPr="00F10077" w:rsidRDefault="00B15D5A" w:rsidP="00B15D5A">
      <w:pPr>
        <w:jc w:val="both"/>
        <w:rPr>
          <w:lang w:val="en-US"/>
        </w:rPr>
      </w:pPr>
      <w:r w:rsidRPr="00F10077">
        <w:rPr>
          <w:lang w:val="en-US"/>
        </w:rPr>
        <w:t>1. Certified Internal Auditor (CIA);</w:t>
      </w:r>
    </w:p>
    <w:p w:rsidR="00B15D5A" w:rsidRPr="00F10077" w:rsidRDefault="00B15D5A" w:rsidP="00B15D5A">
      <w:pPr>
        <w:jc w:val="both"/>
        <w:rPr>
          <w:lang w:val="en-US"/>
        </w:rPr>
      </w:pPr>
      <w:r w:rsidRPr="00F10077">
        <w:rPr>
          <w:lang w:val="en-US"/>
        </w:rPr>
        <w:t>2. Certified Information System Auditor (CISA);</w:t>
      </w:r>
    </w:p>
    <w:p w:rsidR="00B15D5A" w:rsidRPr="00F10077" w:rsidRDefault="00B15D5A" w:rsidP="00B15D5A">
      <w:pPr>
        <w:jc w:val="both"/>
      </w:pPr>
      <w:r w:rsidRPr="00F10077">
        <w:t>3. 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osób;</w:t>
      </w:r>
    </w:p>
    <w:p w:rsidR="00B15D5A" w:rsidRPr="00F10077" w:rsidRDefault="00B15D5A" w:rsidP="00B15D5A">
      <w:pPr>
        <w:jc w:val="both"/>
      </w:pPr>
      <w:r w:rsidRPr="00F10077">
        <w:t>4. 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osób;</w:t>
      </w:r>
    </w:p>
    <w:p w:rsidR="00B15D5A" w:rsidRPr="00F10077" w:rsidRDefault="00B15D5A" w:rsidP="00B15D5A">
      <w:pPr>
        <w:jc w:val="both"/>
        <w:rPr>
          <w:lang w:val="en-US"/>
        </w:rPr>
      </w:pPr>
      <w:r w:rsidRPr="00F10077">
        <w:rPr>
          <w:lang w:val="en-US"/>
        </w:rPr>
        <w:t>5. Certified Information Security Manager (CISM);</w:t>
      </w:r>
    </w:p>
    <w:p w:rsidR="00B15D5A" w:rsidRPr="00F10077" w:rsidRDefault="00B15D5A" w:rsidP="00B15D5A">
      <w:pPr>
        <w:jc w:val="both"/>
        <w:rPr>
          <w:lang w:val="en-US"/>
        </w:rPr>
      </w:pPr>
      <w:r w:rsidRPr="00F10077">
        <w:rPr>
          <w:lang w:val="en-US"/>
        </w:rPr>
        <w:t>6. Certified in Risk and Information Systems Control (CRISC);</w:t>
      </w:r>
    </w:p>
    <w:p w:rsidR="00B15D5A" w:rsidRPr="00F10077" w:rsidRDefault="00B15D5A" w:rsidP="00B15D5A">
      <w:pPr>
        <w:jc w:val="both"/>
        <w:rPr>
          <w:lang w:val="en-US"/>
        </w:rPr>
      </w:pPr>
      <w:r w:rsidRPr="00F10077">
        <w:rPr>
          <w:lang w:val="en-US"/>
        </w:rPr>
        <w:t>7. Certified in the Governance of Enterprise IT (CGEIT);</w:t>
      </w:r>
    </w:p>
    <w:p w:rsidR="00B15D5A" w:rsidRPr="00F10077" w:rsidRDefault="00B15D5A" w:rsidP="00B15D5A">
      <w:pPr>
        <w:jc w:val="both"/>
        <w:rPr>
          <w:lang w:val="en-US"/>
        </w:rPr>
      </w:pPr>
      <w:r w:rsidRPr="00F10077">
        <w:rPr>
          <w:lang w:val="en-US"/>
        </w:rPr>
        <w:t>8. Certified Information Systems Security Professional (CISSP);</w:t>
      </w:r>
    </w:p>
    <w:p w:rsidR="00B15D5A" w:rsidRPr="00F10077" w:rsidRDefault="00B15D5A" w:rsidP="00B15D5A">
      <w:pPr>
        <w:jc w:val="both"/>
        <w:rPr>
          <w:lang w:val="en-US"/>
        </w:rPr>
      </w:pPr>
      <w:r w:rsidRPr="00F10077">
        <w:rPr>
          <w:lang w:val="en-US"/>
        </w:rPr>
        <w:t>9. Systems Security Certified Practitioner (SSCP);</w:t>
      </w:r>
    </w:p>
    <w:p w:rsidR="00B15D5A" w:rsidRPr="00F10077" w:rsidRDefault="00B15D5A" w:rsidP="00B15D5A">
      <w:pPr>
        <w:jc w:val="both"/>
      </w:pPr>
      <w:r w:rsidRPr="00F10077">
        <w:t xml:space="preserve">10. </w:t>
      </w:r>
      <w:proofErr w:type="spellStart"/>
      <w:r w:rsidRPr="00F10077">
        <w:t>Certified</w:t>
      </w:r>
      <w:proofErr w:type="spellEnd"/>
      <w:r w:rsidRPr="00F10077">
        <w:t xml:space="preserve"> </w:t>
      </w:r>
      <w:proofErr w:type="spellStart"/>
      <w:r w:rsidRPr="00F10077">
        <w:t>Reliability</w:t>
      </w:r>
      <w:proofErr w:type="spellEnd"/>
      <w:r w:rsidRPr="00F10077">
        <w:t xml:space="preserve"> Professional;</w:t>
      </w:r>
    </w:p>
    <w:p w:rsidR="00B15D5A" w:rsidRPr="00F10077" w:rsidRDefault="00B15D5A" w:rsidP="00B15D5A">
      <w:pPr>
        <w:jc w:val="both"/>
      </w:pPr>
      <w:r w:rsidRPr="00F10077">
        <w:t xml:space="preserve">11. Certyfikaty uprawniające do posiadania tytułu ISA/IEC 62443 </w:t>
      </w:r>
      <w:proofErr w:type="spellStart"/>
      <w:r w:rsidRPr="00F10077">
        <w:t>Cybersecurity</w:t>
      </w:r>
      <w:proofErr w:type="spellEnd"/>
      <w:r w:rsidRPr="00F10077">
        <w:t xml:space="preserve"> </w:t>
      </w:r>
      <w:proofErr w:type="spellStart"/>
      <w:r w:rsidRPr="00F10077">
        <w:t>Expert</w:t>
      </w:r>
      <w:proofErr w:type="spellEnd"/>
      <w:r w:rsidRPr="00F10077">
        <w:t>.</w:t>
      </w:r>
    </w:p>
    <w:p w:rsidR="00B15D5A" w:rsidRPr="00F10077" w:rsidRDefault="00B15D5A" w:rsidP="00B15D5A">
      <w:pPr>
        <w:jc w:val="both"/>
      </w:pPr>
    </w:p>
    <w:p w:rsidR="00B15D5A" w:rsidRPr="00F10077" w:rsidRDefault="00B15D5A" w:rsidP="00B15D5A">
      <w:pPr>
        <w:jc w:val="both"/>
      </w:pPr>
    </w:p>
    <w:p w:rsidR="00B15D5A" w:rsidRPr="00F10077" w:rsidRDefault="00ED5319" w:rsidP="00B15D5A">
      <w:pPr>
        <w:jc w:val="both"/>
        <w:rPr>
          <w:b/>
          <w:u w:val="single"/>
        </w:rPr>
      </w:pPr>
      <w:r w:rsidRPr="00F10077">
        <w:rPr>
          <w:b/>
          <w:u w:val="single"/>
        </w:rPr>
        <w:t xml:space="preserve">III - </w:t>
      </w:r>
      <w:r w:rsidR="00B15D5A" w:rsidRPr="00F10077">
        <w:rPr>
          <w:b/>
          <w:u w:val="single"/>
        </w:rPr>
        <w:t>Termin realizacji zamówienia:</w:t>
      </w:r>
    </w:p>
    <w:p w:rsidR="00B15D5A" w:rsidRPr="00F10077" w:rsidRDefault="00B15D5A" w:rsidP="00B15D5A">
      <w:pPr>
        <w:jc w:val="both"/>
        <w:rPr>
          <w:b/>
          <w:u w:val="single"/>
        </w:rPr>
      </w:pPr>
    </w:p>
    <w:p w:rsidR="001D15D8" w:rsidRPr="00F10077" w:rsidRDefault="00ED5319" w:rsidP="00303C7A">
      <w:pPr>
        <w:jc w:val="both"/>
      </w:pPr>
      <w:r w:rsidRPr="00F10077">
        <w:t xml:space="preserve">Przedmiot zamówienia </w:t>
      </w:r>
      <w:r w:rsidR="00B15D5A" w:rsidRPr="00F10077">
        <w:t>zostanie wykonan</w:t>
      </w:r>
      <w:r w:rsidRPr="00F10077">
        <w:t>y</w:t>
      </w:r>
      <w:r w:rsidR="00B15D5A" w:rsidRPr="00F10077">
        <w:t xml:space="preserve"> w terminie 12 miesięcy od podpisania umowy</w:t>
      </w:r>
      <w:r w:rsidR="001D15D8" w:rsidRPr="00F10077">
        <w:t>, przy czym audyt zgodności (audyt bezpieczeństwa systemu informacyjnego wykorzystywanego do świadczenia usługi kluczowej) oraz opracowanie raportu z przeprowadzonego audytu w formie papierowej i elektronicznej zostanie wykonany w ciągu 3 miesięcy od podpisania umowy.</w:t>
      </w:r>
    </w:p>
    <w:p w:rsidR="00BE1953" w:rsidRPr="00F10077" w:rsidRDefault="00BE1953" w:rsidP="00303C7A">
      <w:pPr>
        <w:jc w:val="both"/>
      </w:pPr>
    </w:p>
    <w:p w:rsidR="00BE1953" w:rsidRPr="00F10077" w:rsidRDefault="00BE1953" w:rsidP="00303C7A">
      <w:pPr>
        <w:jc w:val="both"/>
      </w:pPr>
    </w:p>
    <w:p w:rsidR="00BE1953" w:rsidRPr="00F10077" w:rsidRDefault="00ED5319" w:rsidP="00BE1953">
      <w:pPr>
        <w:keepNext/>
        <w:jc w:val="both"/>
        <w:rPr>
          <w:b/>
          <w:u w:val="single"/>
        </w:rPr>
      </w:pPr>
      <w:r w:rsidRPr="00F10077">
        <w:rPr>
          <w:b/>
          <w:u w:val="single"/>
        </w:rPr>
        <w:t xml:space="preserve">IV - </w:t>
      </w:r>
      <w:r w:rsidR="00BE1953" w:rsidRPr="00F10077">
        <w:rPr>
          <w:b/>
          <w:u w:val="single"/>
        </w:rPr>
        <w:t>Szczególne wymagania związane z przedmiotem zamówienia</w:t>
      </w:r>
    </w:p>
    <w:p w:rsidR="00BE1953" w:rsidRPr="00F10077" w:rsidRDefault="00BE1953" w:rsidP="00BE1953">
      <w:pPr>
        <w:pStyle w:val="Akapitzlist"/>
        <w:numPr>
          <w:ilvl w:val="0"/>
          <w:numId w:val="4"/>
        </w:numPr>
        <w:jc w:val="both"/>
      </w:pPr>
      <w:r w:rsidRPr="00F10077">
        <w:t>Zakres ogólny Dokumentacji KSC (pkt 5 OPZ), która zostanie opracowana i dostarczona, przy czym ostateczny zakres dostarczonej Dokumentacji KSC może, w wyniku uzgodnień stron umowy dotyczących prowadzonych ustaleń i prac projektowych, różnić się od przedstawionego poniżej i nie będzie stanowiło to zmiany warunków Umowy: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lastRenderedPageBreak/>
        <w:t>Polityka Bezpieczeństwa Informacji (PBI);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Polityka Bezpieczeństwa Danych Osobowych (PBDO) – wyłącznie weryfikacja zgodności i kompletności;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 xml:space="preserve">Polityka Bezpieczeństwa </w:t>
      </w:r>
      <w:proofErr w:type="spellStart"/>
      <w:r w:rsidRPr="00F10077">
        <w:t>Fizyczego</w:t>
      </w:r>
      <w:proofErr w:type="spellEnd"/>
      <w:r w:rsidRPr="00F10077">
        <w:t xml:space="preserve"> i Środowiskowego (</w:t>
      </w:r>
      <w:proofErr w:type="spellStart"/>
      <w:r w:rsidRPr="00F10077">
        <w:t>PBFiŚ</w:t>
      </w:r>
      <w:proofErr w:type="spellEnd"/>
      <w:r w:rsidRPr="00F10077">
        <w:t>) – wyłącznie weryfikacja zgodności i kompletności;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Regulamin Bezpieczeństwa Teleinformatycznego (RBT);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 xml:space="preserve">Metodyka Klasyfikacji Informacji i Analizy </w:t>
      </w:r>
      <w:proofErr w:type="spellStart"/>
      <w:r w:rsidRPr="00F10077">
        <w:t>Ryzyk</w:t>
      </w:r>
      <w:proofErr w:type="spellEnd"/>
      <w:r w:rsidRPr="00F10077">
        <w:t xml:space="preserve"> Bezpieczeństwa Informacji (</w:t>
      </w:r>
      <w:proofErr w:type="spellStart"/>
      <w:r w:rsidRPr="00F10077">
        <w:t>MKIiARBI</w:t>
      </w:r>
      <w:proofErr w:type="spellEnd"/>
      <w:r w:rsidRPr="00F10077">
        <w:t>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Polityka Kontroli Dostępu (PKD);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Audytu Wewnętrznego (PAW);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Działań Korygujących i Zapobiegawczych SZBI (</w:t>
      </w:r>
      <w:proofErr w:type="spellStart"/>
      <w:r w:rsidRPr="00F10077">
        <w:t>PDKiZ</w:t>
      </w:r>
      <w:proofErr w:type="spellEnd"/>
      <w:r w:rsidRPr="00F10077">
        <w:t>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Identyfikacji Wymagań (PIW);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Nadzoru nad Dokumentacją i Zapisami SZBI (</w:t>
      </w:r>
      <w:proofErr w:type="spellStart"/>
      <w:r w:rsidRPr="00F10077">
        <w:t>PNDiZ</w:t>
      </w:r>
      <w:proofErr w:type="spellEnd"/>
      <w:r w:rsidRPr="00F10077">
        <w:t>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Okresowych Przeglądów SZBI (POP);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Przyjmowania Zgłoszeń oraz Podejmowania Działań Następczych (</w:t>
      </w:r>
      <w:proofErr w:type="spellStart"/>
      <w:r w:rsidRPr="00F10077">
        <w:t>PPZoPDN</w:t>
      </w:r>
      <w:proofErr w:type="spellEnd"/>
      <w:r w:rsidRPr="00F10077">
        <w:t>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Rejestracji Korespondencji i Dokumentów (</w:t>
      </w:r>
      <w:proofErr w:type="spellStart"/>
      <w:r w:rsidRPr="00F10077">
        <w:t>PRKiD</w:t>
      </w:r>
      <w:proofErr w:type="spellEnd"/>
      <w:r w:rsidRPr="00F10077">
        <w:t>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Zarządzania Incydentami Bezpieczeństwa Informacji (PZIBI);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Zarządzania Uprawnieniami (PZU);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Zgłaszania Incydentów (PZI);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Logowania do Systemów (</w:t>
      </w:r>
      <w:proofErr w:type="spellStart"/>
      <w:r w:rsidRPr="00F10077">
        <w:t>PLdS</w:t>
      </w:r>
      <w:proofErr w:type="spellEnd"/>
      <w:r w:rsidRPr="00F10077">
        <w:t>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dostępu do zasobów informatycznych (</w:t>
      </w:r>
      <w:proofErr w:type="spellStart"/>
      <w:r w:rsidRPr="00F10077">
        <w:t>PDdZI</w:t>
      </w:r>
      <w:proofErr w:type="spellEnd"/>
      <w:r w:rsidRPr="00F10077">
        <w:t>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ustanawiania celów i pomiarów (</w:t>
      </w:r>
      <w:proofErr w:type="spellStart"/>
      <w:r w:rsidRPr="00F10077">
        <w:t>PUCiP</w:t>
      </w:r>
      <w:proofErr w:type="spellEnd"/>
      <w:r w:rsidRPr="00F10077">
        <w:t xml:space="preserve">) – zasadność do ustalenia w toku prowadzonych prac realizacyjnych; 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Polityka Zabezpieczeń Kryptograficznych (PZK);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Plan Postępowania z Ryzykiem (PPR);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Plan Szkoleń i Uświadamiania (</w:t>
      </w:r>
      <w:proofErr w:type="spellStart"/>
      <w:r w:rsidRPr="00F10077">
        <w:t>PSiU</w:t>
      </w:r>
      <w:proofErr w:type="spellEnd"/>
      <w:r w:rsidRPr="00F10077">
        <w:t>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Plan Ciągłości Działania (PCD) – wyłącznie weryfikacja zgodności i kompletności;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Plan Odbudowy po Katastrofie (</w:t>
      </w:r>
      <w:proofErr w:type="spellStart"/>
      <w:r w:rsidRPr="00F10077">
        <w:t>POpK</w:t>
      </w:r>
      <w:proofErr w:type="spellEnd"/>
      <w:r w:rsidRPr="00F10077">
        <w:t>) – wyłącznie weryfikacja zgodności i kompletności;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Instrukcja komunikacji wewnętrznej i zewnętrznej – zasadność do ustalenia w toku prowadzonych prac realizacyjnych;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Zakres i granice SZBI (</w:t>
      </w:r>
      <w:proofErr w:type="spellStart"/>
      <w:r w:rsidRPr="00F10077">
        <w:t>ZiGS</w:t>
      </w:r>
      <w:proofErr w:type="spellEnd"/>
      <w:r w:rsidRPr="00F10077">
        <w:t>);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Deklaracja Stosowania z wykazem niezbędnych zabezpieczeń i uzasadnieniem – zasadność do ustalenia w toku prowadzonych prac realizacyjnych;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Procedura ustanawiania celów i pomiarów (</w:t>
      </w:r>
      <w:proofErr w:type="spellStart"/>
      <w:r w:rsidRPr="00F10077">
        <w:t>PUCiP</w:t>
      </w:r>
      <w:proofErr w:type="spellEnd"/>
      <w:r w:rsidRPr="00F10077">
        <w:t xml:space="preserve">) – zasadność do ustalenia w toku prowadzonych prac realizacyjnych; 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Lista kontrolna aktywów – wyłącznie weryfikacja zgodności i kompletności;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Zobowiązanie do zachowania poufności;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Ocena Skutków Przetwarzania Danych – wyłącznie weryfikacja zgodności i kompletności;</w:t>
      </w:r>
    </w:p>
    <w:p w:rsidR="00BE1953" w:rsidRPr="00F10077" w:rsidRDefault="00BE1953" w:rsidP="00BE1953">
      <w:pPr>
        <w:pStyle w:val="Akapitzlist"/>
        <w:numPr>
          <w:ilvl w:val="1"/>
          <w:numId w:val="1"/>
        </w:numPr>
        <w:jc w:val="both"/>
      </w:pPr>
      <w:r w:rsidRPr="00F10077">
        <w:t>Regulamin Pracy Zdalnej (RPZ) – wyłącznie weryfikacja zgodności i kompletności;</w:t>
      </w:r>
    </w:p>
    <w:p w:rsidR="00BE1953" w:rsidRPr="00F10077" w:rsidRDefault="00BE1953" w:rsidP="00BE1953">
      <w:pPr>
        <w:pStyle w:val="Akapitzlist"/>
        <w:numPr>
          <w:ilvl w:val="0"/>
          <w:numId w:val="4"/>
        </w:numPr>
        <w:jc w:val="both"/>
      </w:pPr>
      <w:r w:rsidRPr="00F10077">
        <w:t>Wymagania dotyczące stałej usługi wsparcia merytorycznego:</w:t>
      </w:r>
    </w:p>
    <w:p w:rsidR="00BE1953" w:rsidRPr="00F10077" w:rsidRDefault="00BE1953" w:rsidP="00BE1953">
      <w:pPr>
        <w:pStyle w:val="Akapitzlist"/>
        <w:numPr>
          <w:ilvl w:val="0"/>
          <w:numId w:val="5"/>
        </w:numPr>
        <w:jc w:val="both"/>
      </w:pPr>
      <w:r w:rsidRPr="00F10077">
        <w:t>Czas reakcji na zgłoszony problem/pytanie merytoryczne z zakresu Systemu KSC nie przekroczy w ramach Dnia Roboczego:</w:t>
      </w:r>
    </w:p>
    <w:p w:rsidR="00BE1953" w:rsidRPr="00F10077" w:rsidRDefault="00BE1953" w:rsidP="00BE1953">
      <w:pPr>
        <w:pStyle w:val="Akapitzlist"/>
        <w:numPr>
          <w:ilvl w:val="1"/>
          <w:numId w:val="6"/>
        </w:numPr>
        <w:jc w:val="both"/>
      </w:pPr>
      <w:r w:rsidRPr="00F10077">
        <w:t>24 godzin w przypadku konsultacji mailowych,</w:t>
      </w:r>
    </w:p>
    <w:p w:rsidR="00BE1953" w:rsidRPr="00F10077" w:rsidRDefault="00BE1953" w:rsidP="00BE1953">
      <w:pPr>
        <w:pStyle w:val="Akapitzlist"/>
        <w:numPr>
          <w:ilvl w:val="1"/>
          <w:numId w:val="6"/>
        </w:numPr>
        <w:jc w:val="both"/>
      </w:pPr>
      <w:r w:rsidRPr="00F10077">
        <w:t xml:space="preserve">12 godzin w przypadku konsultacji telefonicznych; </w:t>
      </w:r>
    </w:p>
    <w:p w:rsidR="00BE1953" w:rsidRPr="00F10077" w:rsidRDefault="00BE1953" w:rsidP="00BE1953">
      <w:pPr>
        <w:pStyle w:val="Akapitzlist"/>
        <w:numPr>
          <w:ilvl w:val="0"/>
          <w:numId w:val="5"/>
        </w:numPr>
        <w:jc w:val="both"/>
      </w:pPr>
      <w:r w:rsidRPr="00F10077">
        <w:t>Problemy/pytania powinny być zgłoszone:</w:t>
      </w:r>
    </w:p>
    <w:p w:rsidR="00BE1953" w:rsidRPr="00F10077" w:rsidRDefault="00BE1953" w:rsidP="00BE1953">
      <w:pPr>
        <w:pStyle w:val="Akapitzlist"/>
        <w:numPr>
          <w:ilvl w:val="1"/>
          <w:numId w:val="6"/>
        </w:numPr>
        <w:jc w:val="both"/>
      </w:pPr>
      <w:r w:rsidRPr="00F10077">
        <w:t>pocztą elektroniczną na adres internetowy wskazany w Umowie przez Wykonawcę;</w:t>
      </w:r>
    </w:p>
    <w:p w:rsidR="00BE1953" w:rsidRPr="00F10077" w:rsidRDefault="00BE1953" w:rsidP="00BE1953">
      <w:pPr>
        <w:pStyle w:val="Akapitzlist"/>
        <w:numPr>
          <w:ilvl w:val="1"/>
          <w:numId w:val="6"/>
        </w:numPr>
        <w:jc w:val="both"/>
      </w:pPr>
      <w:r w:rsidRPr="00F10077">
        <w:t>telefonicznie na numer telefonu komórkowego wskazany w Umowie przez Wykonawcę</w:t>
      </w:r>
      <w:r w:rsidRPr="00F10077">
        <w:rPr>
          <w:b/>
        </w:rPr>
        <w:t>;</w:t>
      </w:r>
    </w:p>
    <w:p w:rsidR="00BE1953" w:rsidRPr="00F10077" w:rsidRDefault="00BE1953" w:rsidP="00303C7A">
      <w:pPr>
        <w:jc w:val="both"/>
        <w:rPr>
          <w:sz w:val="22"/>
        </w:rPr>
      </w:pPr>
    </w:p>
    <w:p w:rsidR="00F10077" w:rsidRPr="00F10077" w:rsidRDefault="00F10077" w:rsidP="00F10077">
      <w:pPr>
        <w:tabs>
          <w:tab w:val="center" w:pos="6946"/>
        </w:tabs>
        <w:ind w:left="360"/>
        <w:rPr>
          <w:sz w:val="22"/>
          <w:szCs w:val="22"/>
        </w:rPr>
      </w:pPr>
    </w:p>
    <w:p w:rsidR="00F10077" w:rsidRPr="00F10077" w:rsidRDefault="00F10077" w:rsidP="00F10077">
      <w:pPr>
        <w:tabs>
          <w:tab w:val="center" w:pos="6946"/>
        </w:tabs>
        <w:ind w:left="360"/>
        <w:rPr>
          <w:i/>
          <w:sz w:val="22"/>
          <w:szCs w:val="22"/>
        </w:rPr>
      </w:pPr>
      <w:r w:rsidRPr="00F10077">
        <w:rPr>
          <w:sz w:val="22"/>
          <w:szCs w:val="22"/>
        </w:rPr>
        <w:t>............................ ,dn. ..............                                                     ……....................................</w:t>
      </w:r>
      <w:r w:rsidRPr="00F10077">
        <w:rPr>
          <w:sz w:val="22"/>
          <w:szCs w:val="22"/>
        </w:rPr>
        <w:tab/>
        <w:t xml:space="preserve">          </w:t>
      </w:r>
    </w:p>
    <w:p w:rsidR="00A76D53" w:rsidRPr="00D7212F" w:rsidRDefault="00F10077" w:rsidP="00D7212F">
      <w:pPr>
        <w:pStyle w:val="Stopka"/>
        <w:tabs>
          <w:tab w:val="left" w:pos="708"/>
        </w:tabs>
        <w:rPr>
          <w:rFonts w:asciiTheme="minorHAnsi" w:hAnsiTheme="minorHAnsi"/>
        </w:rPr>
      </w:pPr>
      <w:r w:rsidRPr="00F10077">
        <w:rPr>
          <w:rFonts w:asciiTheme="minorHAnsi" w:hAnsiTheme="minorHAnsi"/>
        </w:rPr>
        <w:t xml:space="preserve">                                                                                    </w:t>
      </w:r>
      <w:r>
        <w:rPr>
          <w:rFonts w:asciiTheme="minorHAnsi" w:hAnsiTheme="minorHAnsi"/>
        </w:rPr>
        <w:t xml:space="preserve">       </w:t>
      </w:r>
      <w:r w:rsidRPr="00F10077">
        <w:rPr>
          <w:rFonts w:asciiTheme="minorHAnsi" w:hAnsiTheme="minorHAnsi"/>
        </w:rPr>
        <w:t xml:space="preserve"> </w:t>
      </w:r>
      <w:r w:rsidRPr="00F10077">
        <w:rPr>
          <w:rFonts w:asciiTheme="minorHAnsi" w:hAnsiTheme="minorHAnsi"/>
          <w:i/>
          <w:sz w:val="22"/>
          <w:szCs w:val="22"/>
        </w:rPr>
        <w:t>Podpis i pieczęć Wykonawcy</w:t>
      </w:r>
      <w:r w:rsidRPr="00F10077">
        <w:rPr>
          <w:rFonts w:asciiTheme="minorHAnsi" w:hAnsiTheme="minorHAnsi"/>
        </w:rPr>
        <w:t xml:space="preserve"> </w:t>
      </w:r>
      <w:bookmarkStart w:id="0" w:name="_GoBack"/>
      <w:bookmarkEnd w:id="0"/>
    </w:p>
    <w:sectPr w:rsidR="00A76D53" w:rsidRPr="00D7212F" w:rsidSect="00B15D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DB629DC"/>
    <w:lvl w:ilvl="0">
      <w:start w:val="1"/>
      <w:numFmt w:val="decimal"/>
      <w:pStyle w:val="UmowaP1"/>
      <w:lvlText w:val="§ %1."/>
      <w:lvlJc w:val="left"/>
      <w:pPr>
        <w:tabs>
          <w:tab w:val="num" w:pos="0"/>
        </w:tabs>
        <w:ind w:left="708" w:hanging="708"/>
      </w:pPr>
      <w:rPr>
        <w:rFonts w:asciiTheme="minorHAnsi" w:hAnsiTheme="minorHAnsi" w:hint="default"/>
        <w:b w:val="0"/>
        <w:i w:val="0"/>
        <w:sz w:val="24"/>
        <w:szCs w:val="18"/>
        <w:u w:val="no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1418" w:hanging="708"/>
      </w:pPr>
      <w:rPr>
        <w:rFonts w:hint="default"/>
        <w:b w:val="0"/>
      </w:rPr>
    </w:lvl>
    <w:lvl w:ilvl="2">
      <w:start w:val="1"/>
      <w:numFmt w:val="lowerLetter"/>
      <w:pStyle w:val="Nagwek3"/>
      <w:lvlText w:val="%3/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35" w:hanging="708"/>
      </w:pPr>
      <w:rPr>
        <w:rFonts w:asciiTheme="minorHAnsi" w:hAnsiTheme="minorHAnsi" w:hint="default"/>
        <w:sz w:val="18"/>
      </w:r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AE4895"/>
    <w:multiLevelType w:val="hybridMultilevel"/>
    <w:tmpl w:val="1D6AB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eSecureUmowaDefinicje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eSecureUmowaP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6AE4"/>
    <w:multiLevelType w:val="hybridMultilevel"/>
    <w:tmpl w:val="F55444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DD78A6"/>
    <w:multiLevelType w:val="hybridMultilevel"/>
    <w:tmpl w:val="1D6AB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C13C7"/>
    <w:multiLevelType w:val="hybridMultilevel"/>
    <w:tmpl w:val="BC2A31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A111C6"/>
    <w:multiLevelType w:val="hybridMultilevel"/>
    <w:tmpl w:val="34D08DA8"/>
    <w:lvl w:ilvl="0" w:tplc="2C66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30"/>
    <w:rsid w:val="00166581"/>
    <w:rsid w:val="001D15D8"/>
    <w:rsid w:val="002060F3"/>
    <w:rsid w:val="002464F3"/>
    <w:rsid w:val="002B0C9E"/>
    <w:rsid w:val="00303C7A"/>
    <w:rsid w:val="009A5EA5"/>
    <w:rsid w:val="00A76D53"/>
    <w:rsid w:val="00B15D5A"/>
    <w:rsid w:val="00B42F45"/>
    <w:rsid w:val="00BE1953"/>
    <w:rsid w:val="00D64230"/>
    <w:rsid w:val="00D674BB"/>
    <w:rsid w:val="00D7212F"/>
    <w:rsid w:val="00ED5319"/>
    <w:rsid w:val="00F05C14"/>
    <w:rsid w:val="00F1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1A09"/>
  <w15:docId w15:val="{063136B9-0373-4ED3-98D5-B44AB32E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D5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h2,A.B.C.,l2,heading 2,Heading 2 Hidden,Podrozdzia3,Adres,Adres1,Podrozdział,Podkapitola základní kapitoly,hlavicka,F2,F21,PA Major Section,2,sub-sect,21,sub-sect1,22,sub-sect2,211,sub-sect11,ASAPHeading 2,Nadpis 2T,Podkapitola 1,V_Head2"/>
    <w:basedOn w:val="Normalny"/>
    <w:next w:val="Normalny"/>
    <w:link w:val="Nagwek2Znak"/>
    <w:qFormat/>
    <w:rsid w:val="001D15D8"/>
    <w:pPr>
      <w:widowControl w:val="0"/>
      <w:numPr>
        <w:ilvl w:val="1"/>
        <w:numId w:val="2"/>
      </w:numPr>
      <w:spacing w:before="6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aliases w:val="h3,H3-Heading 3,3,l3.3,l3,list 3,LiczbaDziennika,LiczbaDziennika1,Level 3 Head,n3,n31,n32,n33,n311,n34,n35,n36,n37,n38,n39,n310,n312,n313,n321,n331,n3111,n341,n351,n314,n322,n332,n3112,n342,n352,n361,n371,n381,n391,n3101,n3121,n3131,n3211,H3"/>
    <w:basedOn w:val="Normalny"/>
    <w:next w:val="Wcicienormalne"/>
    <w:link w:val="Nagwek3Znak"/>
    <w:qFormat/>
    <w:rsid w:val="001D15D8"/>
    <w:pPr>
      <w:numPr>
        <w:ilvl w:val="2"/>
        <w:numId w:val="2"/>
      </w:numPr>
      <w:spacing w:before="60" w:after="60"/>
      <w:jc w:val="both"/>
      <w:outlineLvl w:val="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aliases w:val="h4"/>
    <w:basedOn w:val="Normalny"/>
    <w:next w:val="Wcicienormalne"/>
    <w:link w:val="Nagwek4Znak"/>
    <w:qFormat/>
    <w:rsid w:val="001D15D8"/>
    <w:pPr>
      <w:numPr>
        <w:ilvl w:val="3"/>
        <w:numId w:val="2"/>
      </w:numPr>
      <w:spacing w:after="60"/>
      <w:outlineLvl w:val="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aliases w:val="h5"/>
    <w:basedOn w:val="Normalny"/>
    <w:next w:val="Wcicienormalne"/>
    <w:link w:val="Nagwek5Znak"/>
    <w:qFormat/>
    <w:rsid w:val="001D15D8"/>
    <w:pPr>
      <w:numPr>
        <w:ilvl w:val="4"/>
        <w:numId w:val="2"/>
      </w:numPr>
      <w:outlineLvl w:val="4"/>
    </w:pPr>
    <w:rPr>
      <w:rFonts w:ascii="Arial PL" w:eastAsia="Times New Roman" w:hAnsi="Arial PL" w:cs="Times New Roman"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D15D8"/>
    <w:pPr>
      <w:numPr>
        <w:ilvl w:val="5"/>
        <w:numId w:val="2"/>
      </w:numPr>
      <w:outlineLvl w:val="5"/>
    </w:pPr>
    <w:rPr>
      <w:rFonts w:ascii="Arial PL" w:eastAsia="Times New Roman" w:hAnsi="Arial PL" w:cs="Times New Roman"/>
      <w:sz w:val="20"/>
      <w:szCs w:val="20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D15D8"/>
    <w:pPr>
      <w:numPr>
        <w:ilvl w:val="6"/>
        <w:numId w:val="2"/>
      </w:numPr>
      <w:outlineLvl w:val="6"/>
    </w:pPr>
    <w:rPr>
      <w:rFonts w:ascii="Arial PL" w:eastAsia="Times New Roman" w:hAnsi="Arial PL" w:cs="Times New Roman"/>
      <w:i/>
      <w:sz w:val="20"/>
      <w:szCs w:val="20"/>
      <w:lang w:val="en-GB" w:eastAsia="pl-PL"/>
    </w:rPr>
  </w:style>
  <w:style w:type="paragraph" w:styleId="Nagwek8">
    <w:name w:val="heading 8"/>
    <w:basedOn w:val="Normalny"/>
    <w:next w:val="Wcicienormalne"/>
    <w:link w:val="Nagwek8Znak"/>
    <w:qFormat/>
    <w:rsid w:val="001D15D8"/>
    <w:pPr>
      <w:numPr>
        <w:ilvl w:val="7"/>
        <w:numId w:val="2"/>
      </w:numPr>
      <w:outlineLvl w:val="7"/>
    </w:pPr>
    <w:rPr>
      <w:rFonts w:ascii="Arial PL" w:eastAsia="Times New Roman" w:hAnsi="Arial PL" w:cs="Times New Roman"/>
      <w:i/>
      <w:sz w:val="20"/>
      <w:szCs w:val="20"/>
      <w:lang w:val="en-GB" w:eastAsia="pl-PL"/>
    </w:rPr>
  </w:style>
  <w:style w:type="paragraph" w:styleId="Nagwek9">
    <w:name w:val="heading 9"/>
    <w:basedOn w:val="Normalny"/>
    <w:next w:val="Wcicienormalne"/>
    <w:link w:val="Nagwek9Znak"/>
    <w:qFormat/>
    <w:rsid w:val="001D15D8"/>
    <w:pPr>
      <w:numPr>
        <w:ilvl w:val="8"/>
        <w:numId w:val="2"/>
      </w:numPr>
      <w:outlineLvl w:val="8"/>
    </w:pPr>
    <w:rPr>
      <w:rFonts w:ascii="Arial PL" w:eastAsia="Times New Roman" w:hAnsi="Arial PL" w:cs="Times New Roman"/>
      <w:i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D5A"/>
    <w:pPr>
      <w:ind w:left="720"/>
      <w:contextualSpacing/>
    </w:pPr>
  </w:style>
  <w:style w:type="character" w:customStyle="1" w:styleId="Nagwek2Znak">
    <w:name w:val="Nagłówek 2 Znak"/>
    <w:aliases w:val="h2 Znak,A.B.C. Znak,l2 Znak,heading 2 Znak,Heading 2 Hidden Znak,Podrozdzia3 Znak,Adres Znak,Adres1 Znak,Podrozdział Znak,Podkapitola základní kapitoly Znak,hlavicka Znak,F2 Znak,F21 Znak,PA Major Section Znak,2 Znak,sub-sect Znak"/>
    <w:basedOn w:val="Domylnaczcionkaakapitu"/>
    <w:link w:val="Nagwek2"/>
    <w:rsid w:val="001D1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aliases w:val="h3 Znak,H3-Heading 3 Znak,3 Znak,l3.3 Znak,l3 Znak,list 3 Znak,LiczbaDziennika Znak,LiczbaDziennika1 Znak,Level 3 Head Znak,n3 Znak,n31 Znak,n32 Znak,n33 Znak,n311 Znak,n34 Znak,n35 Znak,n36 Znak,n37 Znak,n38 Znak,n39 Znak,n310 Znak"/>
    <w:basedOn w:val="Domylnaczcionkaakapitu"/>
    <w:link w:val="Nagwek3"/>
    <w:rsid w:val="001D1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aliases w:val="h4 Znak"/>
    <w:basedOn w:val="Domylnaczcionkaakapitu"/>
    <w:link w:val="Nagwek4"/>
    <w:rsid w:val="001D1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aliases w:val="h5 Znak"/>
    <w:basedOn w:val="Domylnaczcionkaakapitu"/>
    <w:link w:val="Nagwek5"/>
    <w:rsid w:val="001D15D8"/>
    <w:rPr>
      <w:rFonts w:ascii="Arial PL" w:eastAsia="Times New Roman" w:hAnsi="Arial PL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D15D8"/>
    <w:rPr>
      <w:rFonts w:ascii="Arial PL" w:eastAsia="Times New Roman" w:hAnsi="Arial PL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D15D8"/>
    <w:rPr>
      <w:rFonts w:ascii="Arial PL" w:eastAsia="Times New Roman" w:hAnsi="Arial PL" w:cs="Times New Roman"/>
      <w:i/>
      <w:sz w:val="20"/>
      <w:szCs w:val="20"/>
      <w:lang w:val="en-GB" w:eastAsia="pl-PL"/>
    </w:rPr>
  </w:style>
  <w:style w:type="character" w:customStyle="1" w:styleId="Nagwek8Znak">
    <w:name w:val="Nagłówek 8 Znak"/>
    <w:basedOn w:val="Domylnaczcionkaakapitu"/>
    <w:link w:val="Nagwek8"/>
    <w:rsid w:val="001D15D8"/>
    <w:rPr>
      <w:rFonts w:ascii="Arial PL" w:eastAsia="Times New Roman" w:hAnsi="Arial PL" w:cs="Times New Roman"/>
      <w:i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rsid w:val="001D15D8"/>
    <w:rPr>
      <w:rFonts w:ascii="Arial PL" w:eastAsia="Times New Roman" w:hAnsi="Arial PL" w:cs="Times New Roman"/>
      <w:i/>
      <w:sz w:val="20"/>
      <w:szCs w:val="20"/>
      <w:lang w:val="en-GB" w:eastAsia="pl-PL"/>
    </w:rPr>
  </w:style>
  <w:style w:type="paragraph" w:customStyle="1" w:styleId="UmowaP1">
    <w:name w:val="Umowa P.1"/>
    <w:basedOn w:val="Nagwek1"/>
    <w:rsid w:val="001D15D8"/>
    <w:pPr>
      <w:keepLines w:val="0"/>
      <w:numPr>
        <w:numId w:val="2"/>
      </w:numPr>
      <w:tabs>
        <w:tab w:val="clear" w:pos="0"/>
        <w:tab w:val="num" w:pos="360"/>
      </w:tabs>
      <w:spacing w:before="360" w:after="240"/>
      <w:ind w:left="0" w:firstLine="0"/>
      <w:jc w:val="both"/>
    </w:pPr>
    <w:rPr>
      <w:rFonts w:ascii="Verdana" w:eastAsia="Times New Roman" w:hAnsi="Verdana" w:cs="Times New Roman"/>
      <w:caps/>
      <w:color w:val="auto"/>
      <w:sz w:val="18"/>
      <w:szCs w:val="20"/>
      <w:u w:val="single"/>
      <w:lang w:eastAsia="pl-PL"/>
    </w:rPr>
  </w:style>
  <w:style w:type="paragraph" w:customStyle="1" w:styleId="eSecureUmowaDefinicje">
    <w:name w:val="eSecure Umowa Definicje"/>
    <w:basedOn w:val="Normalny"/>
    <w:link w:val="eSecureUmowaDefinicjeZnak"/>
    <w:qFormat/>
    <w:rsid w:val="001D15D8"/>
    <w:pPr>
      <w:numPr>
        <w:ilvl w:val="2"/>
        <w:numId w:val="4"/>
      </w:numPr>
      <w:spacing w:before="60" w:after="60"/>
      <w:jc w:val="both"/>
      <w:outlineLvl w:val="2"/>
    </w:pPr>
    <w:rPr>
      <w:rFonts w:eastAsia="Times New Roman" w:cs="Times New Roman"/>
      <w:b/>
      <w:color w:val="4F81BD" w:themeColor="accent1"/>
      <w:sz w:val="18"/>
      <w:szCs w:val="20"/>
      <w:lang w:eastAsia="pl-PL"/>
    </w:rPr>
  </w:style>
  <w:style w:type="character" w:customStyle="1" w:styleId="eSecureUmowaDefinicjeZnak">
    <w:name w:val="eSecure Umowa Definicje Znak"/>
    <w:basedOn w:val="Domylnaczcionkaakapitu"/>
    <w:link w:val="eSecureUmowaDefinicje"/>
    <w:rsid w:val="001D15D8"/>
    <w:rPr>
      <w:rFonts w:eastAsia="Times New Roman" w:cs="Times New Roman"/>
      <w:b/>
      <w:color w:val="4F81BD" w:themeColor="accent1"/>
      <w:sz w:val="18"/>
      <w:szCs w:val="20"/>
      <w:lang w:eastAsia="pl-PL"/>
    </w:rPr>
  </w:style>
  <w:style w:type="paragraph" w:customStyle="1" w:styleId="eSecureUmowaTekstNormalny">
    <w:name w:val="eSecure Umowa Tekst Normalny"/>
    <w:basedOn w:val="Nagwek2"/>
    <w:link w:val="eSecureUmowaTekstNormalnyZnak"/>
    <w:qFormat/>
    <w:rsid w:val="001D15D8"/>
    <w:pPr>
      <w:numPr>
        <w:ilvl w:val="0"/>
        <w:numId w:val="0"/>
      </w:numPr>
      <w:tabs>
        <w:tab w:val="left" w:pos="709"/>
        <w:tab w:val="left" w:pos="3261"/>
      </w:tabs>
    </w:pPr>
    <w:rPr>
      <w:sz w:val="18"/>
    </w:rPr>
  </w:style>
  <w:style w:type="paragraph" w:customStyle="1" w:styleId="eSecureUmowaP2">
    <w:name w:val="eSecure Umowa P2"/>
    <w:basedOn w:val="Nagwek2"/>
    <w:link w:val="eSecureUmowaP2Znak"/>
    <w:qFormat/>
    <w:rsid w:val="001D15D8"/>
    <w:rPr>
      <w:sz w:val="18"/>
      <w:szCs w:val="18"/>
    </w:rPr>
  </w:style>
  <w:style w:type="character" w:customStyle="1" w:styleId="eSecureUmowaTekstNormalnyZnak">
    <w:name w:val="eSecure Umowa Tekst Normalny Znak"/>
    <w:basedOn w:val="Nagwek2Znak"/>
    <w:link w:val="eSecureUmowaTekstNormalny"/>
    <w:rsid w:val="001D15D8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eSecureUmowaP3">
    <w:name w:val="eSecure Umowa P3"/>
    <w:basedOn w:val="Nagwek3"/>
    <w:link w:val="eSecureUmowaP3Znak"/>
    <w:qFormat/>
    <w:rsid w:val="001D15D8"/>
    <w:rPr>
      <w:sz w:val="18"/>
      <w:szCs w:val="18"/>
    </w:rPr>
  </w:style>
  <w:style w:type="character" w:customStyle="1" w:styleId="eSecureUmowaP2Znak">
    <w:name w:val="eSecure Umowa P2 Znak"/>
    <w:basedOn w:val="Nagwek2Znak"/>
    <w:link w:val="eSecureUmowaP2"/>
    <w:rsid w:val="001D15D8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eSecureUmowaP4">
    <w:name w:val="eSecure Umowa P4"/>
    <w:basedOn w:val="Normalny"/>
    <w:link w:val="eSecureUmowaP4Znak"/>
    <w:qFormat/>
    <w:rsid w:val="001D15D8"/>
    <w:pPr>
      <w:numPr>
        <w:ilvl w:val="3"/>
        <w:numId w:val="4"/>
      </w:numPr>
      <w:spacing w:after="60"/>
      <w:outlineLvl w:val="3"/>
    </w:pPr>
    <w:rPr>
      <w:rFonts w:eastAsia="Times New Roman" w:cs="Times New Roman"/>
      <w:sz w:val="18"/>
      <w:szCs w:val="18"/>
      <w:lang w:eastAsia="pl-PL"/>
    </w:rPr>
  </w:style>
  <w:style w:type="character" w:customStyle="1" w:styleId="eSecureUmowaP3Znak">
    <w:name w:val="eSecure Umowa P3 Znak"/>
    <w:basedOn w:val="Nagwek3Znak"/>
    <w:link w:val="eSecureUmowaP3"/>
    <w:rsid w:val="001D15D8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eSecureUmowaP4Znak">
    <w:name w:val="eSecure Umowa P4 Znak"/>
    <w:basedOn w:val="Domylnaczcionkaakapitu"/>
    <w:link w:val="eSecureUmowaP4"/>
    <w:rsid w:val="001D15D8"/>
    <w:rPr>
      <w:rFonts w:eastAsia="Times New Roman" w:cs="Times New Roman"/>
      <w:sz w:val="18"/>
      <w:szCs w:val="18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1D15D8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1D1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nhideWhenUsed/>
    <w:rsid w:val="00F100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1007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Mak</dc:creator>
  <cp:keywords/>
  <dc:description/>
  <cp:lastModifiedBy>ldranka</cp:lastModifiedBy>
  <cp:revision>3</cp:revision>
  <cp:lastPrinted>2023-06-15T09:41:00Z</cp:lastPrinted>
  <dcterms:created xsi:type="dcterms:W3CDTF">2023-06-15T10:02:00Z</dcterms:created>
  <dcterms:modified xsi:type="dcterms:W3CDTF">2023-06-15T12:20:00Z</dcterms:modified>
</cp:coreProperties>
</file>